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80416B" w:rsidTr="0049382B">
        <w:tc>
          <w:tcPr>
            <w:tcW w:w="4606" w:type="dxa"/>
          </w:tcPr>
          <w:p w:rsidR="009A514C" w:rsidRDefault="004F25B9" w:rsidP="000C3A0C"/>
        </w:tc>
        <w:tc>
          <w:tcPr>
            <w:tcW w:w="4606" w:type="dxa"/>
          </w:tcPr>
          <w:p w:rsidR="009A514C" w:rsidRDefault="004F25B9" w:rsidP="0049382B"/>
        </w:tc>
      </w:tr>
    </w:tbl>
    <w:p w:rsidR="009A514C" w:rsidRPr="009A514C" w:rsidRDefault="004F25B9" w:rsidP="00F44765">
      <w:pPr>
        <w:ind w:left="4962"/>
        <w:rPr>
          <w:rFonts w:ascii="Times New Roman" w:hAnsi="Times New Roman" w:cs="Times New Roman"/>
        </w:rPr>
      </w:pPr>
    </w:p>
    <w:p w:rsidR="009A514C" w:rsidRDefault="004F25B9" w:rsidP="00E0278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744B" w:rsidRPr="00DB59F1" w:rsidRDefault="005F2877" w:rsidP="0027744B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59F1">
        <w:rPr>
          <w:rFonts w:ascii="Times New Roman" w:hAnsi="Times New Roman" w:cs="Times New Roman"/>
          <w:b/>
          <w:sz w:val="24"/>
          <w:szCs w:val="24"/>
        </w:rPr>
        <w:t>Informacja o wyroku Trybunału Konstytucyjnego</w:t>
      </w:r>
    </w:p>
    <w:p w:rsidR="0027744B" w:rsidRPr="00DB59F1" w:rsidRDefault="005F2877" w:rsidP="0027744B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59F1"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 w:rsidR="00D54097">
        <w:rPr>
          <w:rFonts w:ascii="Times New Roman" w:hAnsi="Times New Roman" w:cs="Times New Roman"/>
          <w:b/>
          <w:sz w:val="24"/>
          <w:szCs w:val="24"/>
        </w:rPr>
        <w:t>16 stycznia 2019</w:t>
      </w:r>
      <w:r w:rsidRPr="00DB59F1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:rsidR="0027744B" w:rsidRPr="005F35DC" w:rsidRDefault="005F2877" w:rsidP="005F35D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sygn. akt </w:t>
      </w:r>
      <w:r w:rsidR="00D54097">
        <w:rPr>
          <w:rFonts w:ascii="Times New Roman" w:hAnsi="Times New Roman" w:cs="Times New Roman"/>
          <w:b/>
          <w:sz w:val="24"/>
          <w:szCs w:val="24"/>
        </w:rPr>
        <w:t>P 19/17</w:t>
      </w:r>
      <w:r>
        <w:rPr>
          <w:rFonts w:ascii="Times New Roman" w:hAnsi="Times New Roman" w:cs="Times New Roman"/>
          <w:sz w:val="24"/>
          <w:szCs w:val="24"/>
          <w:vertAlign w:val="superscript"/>
        </w:rPr>
        <w:footnoteReference w:id="1"/>
      </w:r>
      <w:r w:rsidRPr="00410E64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:rsidR="0027744B" w:rsidRPr="00DB59F1" w:rsidRDefault="005F2877" w:rsidP="0027744B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59F1">
        <w:rPr>
          <w:rFonts w:ascii="Times New Roman" w:hAnsi="Times New Roman" w:cs="Times New Roman"/>
          <w:b/>
          <w:sz w:val="24"/>
          <w:szCs w:val="24"/>
        </w:rPr>
        <w:t>Problem prawny.</w:t>
      </w:r>
    </w:p>
    <w:p w:rsidR="0027744B" w:rsidRPr="00DB59F1" w:rsidRDefault="005F2877" w:rsidP="0027744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Postępowanie zostało zainicjowane </w:t>
      </w:r>
      <w:r w:rsidR="00D54097">
        <w:rPr>
          <w:rFonts w:ascii="Times New Roman" w:hAnsi="Times New Roman" w:cs="Times New Roman"/>
          <w:sz w:val="24"/>
          <w:szCs w:val="24"/>
        </w:rPr>
        <w:t xml:space="preserve">pytaniem prawnym Sądu Apelacyjnego w Warszawie. Zastrzeżenia sądu dotyczyły art. 105n ust. 4 zdanie drugie ustawy z dnia 16 lutego 2007 r. </w:t>
      </w:r>
      <w:r w:rsidR="0097340E">
        <w:rPr>
          <w:rFonts w:ascii="Times New Roman" w:hAnsi="Times New Roman" w:cs="Times New Roman"/>
          <w:sz w:val="24"/>
          <w:szCs w:val="24"/>
        </w:rPr>
        <w:br/>
      </w:r>
      <w:r w:rsidR="00D54097">
        <w:rPr>
          <w:rFonts w:ascii="Times New Roman" w:hAnsi="Times New Roman" w:cs="Times New Roman"/>
          <w:sz w:val="24"/>
          <w:szCs w:val="24"/>
        </w:rPr>
        <w:t xml:space="preserve">o ochronie konkurencji i konsumentów (Dz. U. z 2018 r. poz. 798). Zaskarżony przepis wyłączał możliwość złożenia zażalenia na postanowienie sądu ochrony konkurencji </w:t>
      </w:r>
      <w:r w:rsidR="0097340E">
        <w:rPr>
          <w:rFonts w:ascii="Times New Roman" w:hAnsi="Times New Roman" w:cs="Times New Roman"/>
          <w:sz w:val="24"/>
          <w:szCs w:val="24"/>
        </w:rPr>
        <w:br/>
      </w:r>
      <w:r w:rsidR="00D54097">
        <w:rPr>
          <w:rFonts w:ascii="Times New Roman" w:hAnsi="Times New Roman" w:cs="Times New Roman"/>
          <w:sz w:val="24"/>
          <w:szCs w:val="24"/>
        </w:rPr>
        <w:t xml:space="preserve">i konsumentów o zgodzie na przeprowadzenie przeszukania pomieszczeń </w:t>
      </w:r>
      <w:r w:rsidR="0097340E">
        <w:rPr>
          <w:rFonts w:ascii="Times New Roman" w:hAnsi="Times New Roman" w:cs="Times New Roman"/>
          <w:sz w:val="24"/>
          <w:szCs w:val="24"/>
        </w:rPr>
        <w:t xml:space="preserve">i rzeczy </w:t>
      </w:r>
      <w:r w:rsidR="00D54097">
        <w:rPr>
          <w:rFonts w:ascii="Times New Roman" w:hAnsi="Times New Roman" w:cs="Times New Roman"/>
          <w:sz w:val="24"/>
          <w:szCs w:val="24"/>
        </w:rPr>
        <w:t xml:space="preserve">przedsiębiorcy w związku z postępowaniem Prezesa Urzędu Ochrony Konkurencji </w:t>
      </w:r>
      <w:r w:rsidR="0097340E">
        <w:rPr>
          <w:rFonts w:ascii="Times New Roman" w:hAnsi="Times New Roman" w:cs="Times New Roman"/>
          <w:sz w:val="24"/>
          <w:szCs w:val="24"/>
        </w:rPr>
        <w:br/>
      </w:r>
      <w:r w:rsidR="00D54097">
        <w:rPr>
          <w:rFonts w:ascii="Times New Roman" w:hAnsi="Times New Roman" w:cs="Times New Roman"/>
          <w:sz w:val="24"/>
          <w:szCs w:val="24"/>
        </w:rPr>
        <w:t>i Konsumentów w sprawach praktyk ograniczających konkurencję.</w:t>
      </w:r>
      <w:r w:rsidR="004D57E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744B" w:rsidRPr="00DB59F1" w:rsidRDefault="005F2877" w:rsidP="0027744B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59F1">
        <w:rPr>
          <w:rFonts w:ascii="Times New Roman" w:hAnsi="Times New Roman" w:cs="Times New Roman"/>
          <w:b/>
          <w:sz w:val="24"/>
          <w:szCs w:val="24"/>
        </w:rPr>
        <w:t>Wzorzec kontroli.</w:t>
      </w:r>
    </w:p>
    <w:p w:rsidR="0027744B" w:rsidRPr="00DB59F1" w:rsidRDefault="005F2877" w:rsidP="0027744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9F1">
        <w:rPr>
          <w:rFonts w:ascii="Times New Roman" w:hAnsi="Times New Roman" w:cs="Times New Roman"/>
          <w:sz w:val="24"/>
          <w:szCs w:val="24"/>
        </w:rPr>
        <w:t xml:space="preserve">Art. </w:t>
      </w:r>
      <w:r w:rsidR="00D54097">
        <w:rPr>
          <w:rFonts w:ascii="Times New Roman" w:hAnsi="Times New Roman" w:cs="Times New Roman"/>
          <w:sz w:val="24"/>
          <w:szCs w:val="24"/>
        </w:rPr>
        <w:t>45 ust. 1</w:t>
      </w:r>
      <w:r w:rsidR="00BE2FB5">
        <w:rPr>
          <w:rFonts w:ascii="Times New Roman" w:hAnsi="Times New Roman" w:cs="Times New Roman"/>
          <w:sz w:val="24"/>
          <w:szCs w:val="24"/>
        </w:rPr>
        <w:t xml:space="preserve"> (prawo do sądu)</w:t>
      </w:r>
      <w:r w:rsidR="00CC5C94">
        <w:rPr>
          <w:rFonts w:ascii="Times New Roman" w:hAnsi="Times New Roman" w:cs="Times New Roman"/>
          <w:sz w:val="24"/>
          <w:szCs w:val="24"/>
        </w:rPr>
        <w:t xml:space="preserve"> w związku z</w:t>
      </w:r>
      <w:r w:rsidR="00D54097">
        <w:rPr>
          <w:rFonts w:ascii="Times New Roman" w:hAnsi="Times New Roman" w:cs="Times New Roman"/>
          <w:sz w:val="24"/>
          <w:szCs w:val="24"/>
        </w:rPr>
        <w:t xml:space="preserve"> art. 78 </w:t>
      </w:r>
      <w:r w:rsidR="00A86E53">
        <w:rPr>
          <w:rFonts w:ascii="Times New Roman" w:hAnsi="Times New Roman" w:cs="Times New Roman"/>
          <w:sz w:val="24"/>
          <w:szCs w:val="24"/>
        </w:rPr>
        <w:t xml:space="preserve">Konstytucji </w:t>
      </w:r>
      <w:r w:rsidR="00BE2FB5">
        <w:rPr>
          <w:rFonts w:ascii="Times New Roman" w:hAnsi="Times New Roman" w:cs="Times New Roman"/>
          <w:sz w:val="24"/>
          <w:szCs w:val="24"/>
        </w:rPr>
        <w:t>(prawo do zaskarżania orzeczeń</w:t>
      </w:r>
      <w:r w:rsidR="00CC5C94">
        <w:rPr>
          <w:rFonts w:ascii="Times New Roman" w:hAnsi="Times New Roman" w:cs="Times New Roman"/>
          <w:sz w:val="24"/>
          <w:szCs w:val="24"/>
        </w:rPr>
        <w:t xml:space="preserve"> wydanych w pierwszej instancji)</w:t>
      </w:r>
      <w:r w:rsidR="00D5409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7744B" w:rsidRPr="00DB59F1" w:rsidRDefault="005F2877" w:rsidP="0027744B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59F1">
        <w:rPr>
          <w:rFonts w:ascii="Times New Roman" w:hAnsi="Times New Roman" w:cs="Times New Roman"/>
          <w:b/>
          <w:sz w:val="24"/>
          <w:szCs w:val="24"/>
        </w:rPr>
        <w:t>Treść orzeczenia.</w:t>
      </w:r>
    </w:p>
    <w:p w:rsidR="00A86E53" w:rsidRPr="00A86E53" w:rsidRDefault="00A86E53" w:rsidP="00A86E53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bookmarkStart w:id="0" w:name="tenor_17461"/>
      <w:bookmarkStart w:id="1" w:name="ponadto_postanawia_17461"/>
      <w:bookmarkEnd w:id="0"/>
      <w:bookmarkEnd w:id="1"/>
      <w:r w:rsidRPr="00A86E5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Art. 105n ust. 4 zdanie drugie ustawy z dnia 16 lutego 2007 r. o ochronie konkurencji </w:t>
      </w:r>
      <w:r w:rsidR="0097340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Pr="00A86E5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 konsumentów </w:t>
      </w:r>
      <w:r w:rsidRPr="00A86E5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jest niezgodny</w:t>
      </w:r>
      <w:r w:rsidRPr="00A86E5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 art. 78 w związku z art. 45 ust. 1 Konstytucji Rzeczypospolitej Polskiej.</w:t>
      </w:r>
    </w:p>
    <w:p w:rsidR="0027744B" w:rsidRDefault="00A86E53" w:rsidP="00A86E53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 </w:t>
      </w:r>
      <w:r w:rsidR="005F2877" w:rsidRPr="00DB59F1">
        <w:rPr>
          <w:rFonts w:ascii="Times New Roman" w:hAnsi="Times New Roman" w:cs="Times New Roman"/>
          <w:b/>
          <w:sz w:val="24"/>
          <w:szCs w:val="24"/>
        </w:rPr>
        <w:t>Wskazówki  dla prawodawcy.</w:t>
      </w:r>
      <w:r w:rsidR="005F287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C6F09" w:rsidRDefault="00043B47" w:rsidP="002C6F0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Postępowanie dotyczące wyrażenia przez sąd ochrony konkurencji i konsumentów zgody na przeprowadzenie przeszukania ma charakter „sprawy” w rozumieniu konstytucyjnym.</w:t>
      </w:r>
      <w:r w:rsidR="0097340E">
        <w:rPr>
          <w:rFonts w:ascii="Times New Roman" w:hAnsi="Times New Roman" w:cs="Times New Roman"/>
          <w:sz w:val="24"/>
          <w:szCs w:val="24"/>
        </w:rPr>
        <w:t xml:space="preserve"> O</w:t>
      </w:r>
      <w:r w:rsidR="00241A0C">
        <w:rPr>
          <w:rFonts w:ascii="Times New Roman" w:hAnsi="Times New Roman" w:cs="Times New Roman"/>
          <w:sz w:val="24"/>
          <w:szCs w:val="24"/>
        </w:rPr>
        <w:t>znacza</w:t>
      </w:r>
      <w:r w:rsidR="0097340E">
        <w:rPr>
          <w:rFonts w:ascii="Times New Roman" w:hAnsi="Times New Roman" w:cs="Times New Roman"/>
          <w:sz w:val="24"/>
          <w:szCs w:val="24"/>
        </w:rPr>
        <w:t xml:space="preserve"> to</w:t>
      </w:r>
      <w:r w:rsidR="00241A0C">
        <w:rPr>
          <w:rFonts w:ascii="Times New Roman" w:hAnsi="Times New Roman" w:cs="Times New Roman"/>
          <w:sz w:val="24"/>
          <w:szCs w:val="24"/>
        </w:rPr>
        <w:t>, że ustawa musi zapewnić realizację standardów wynikających z art. 45 i 78 Konstytucji.</w:t>
      </w:r>
    </w:p>
    <w:p w:rsidR="00241A0C" w:rsidRDefault="00241A0C" w:rsidP="002C6F0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Trybunał Konstytucyjny zaznaczył, że zapewnienie prawa do zażalenia nie musi odbyć się kosztem skuteczności przeszukania. Możliwe jest zachowanie niezbędnego elementu zaskoczenia przy przeszukaniu, ponieważ kontrola instancyjna może mieć charakter następczy, a złożenie zażalenia nie musi wstrzymywać przeprowadzanych czynności.</w:t>
      </w:r>
    </w:p>
    <w:p w:rsidR="00A7135A" w:rsidRPr="00DB59F1" w:rsidRDefault="00A7135A" w:rsidP="002C6F0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Trybunał podkreślił</w:t>
      </w:r>
      <w:r w:rsidR="0097340E">
        <w:rPr>
          <w:rFonts w:ascii="Times New Roman" w:hAnsi="Times New Roman" w:cs="Times New Roman"/>
          <w:sz w:val="24"/>
          <w:szCs w:val="24"/>
        </w:rPr>
        <w:t xml:space="preserve"> również</w:t>
      </w:r>
      <w:bookmarkStart w:id="2" w:name="_GoBack"/>
      <w:bookmarkEnd w:id="2"/>
      <w:r>
        <w:rPr>
          <w:rFonts w:ascii="Times New Roman" w:hAnsi="Times New Roman" w:cs="Times New Roman"/>
          <w:sz w:val="24"/>
          <w:szCs w:val="24"/>
        </w:rPr>
        <w:t>, że przepisy o warunkach podejmowania przeszukania muszą zapewniać prawo do obrony, postrzegane przez pryzmat domniemania niewinności, wolność od samooskarżania i tajemnicę porady prawnej.</w:t>
      </w:r>
    </w:p>
    <w:p w:rsidR="009A514C" w:rsidRPr="006813CD" w:rsidRDefault="004F25B9" w:rsidP="009A514C">
      <w:pPr>
        <w:spacing w:after="0"/>
        <w:jc w:val="both"/>
        <w:rPr>
          <w:rFonts w:ascii="Times New Roman" w:hAnsi="Times New Roman"/>
          <w:bCs/>
          <w:sz w:val="18"/>
          <w:szCs w:val="18"/>
        </w:rPr>
      </w:pPr>
    </w:p>
    <w:sectPr w:rsidR="009A514C" w:rsidRPr="006813CD" w:rsidSect="009A514C">
      <w:footerReference w:type="default" r:id="rId9"/>
      <w:type w:val="continuous"/>
      <w:pgSz w:w="11906" w:h="16838"/>
      <w:pgMar w:top="1417" w:right="1417" w:bottom="1417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25B9" w:rsidRDefault="004F25B9">
      <w:pPr>
        <w:spacing w:after="0" w:line="240" w:lineRule="auto"/>
      </w:pPr>
      <w:r>
        <w:separator/>
      </w:r>
    </w:p>
  </w:endnote>
  <w:endnote w:type="continuationSeparator" w:id="0">
    <w:p w:rsidR="004F25B9" w:rsidRDefault="004F25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7492856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CD2160" w:rsidRPr="005F0211" w:rsidRDefault="005F2877">
        <w:pPr>
          <w:pStyle w:val="Stopka"/>
          <w:jc w:val="right"/>
          <w:rPr>
            <w:rFonts w:ascii="Times New Roman" w:hAnsi="Times New Roman" w:cs="Times New Roman"/>
          </w:rPr>
        </w:pPr>
        <w:r w:rsidRPr="005F0211">
          <w:rPr>
            <w:rFonts w:ascii="Times New Roman" w:hAnsi="Times New Roman" w:cs="Times New Roman"/>
          </w:rPr>
          <w:fldChar w:fldCharType="begin"/>
        </w:r>
        <w:r w:rsidRPr="005F0211">
          <w:rPr>
            <w:rFonts w:ascii="Times New Roman" w:hAnsi="Times New Roman" w:cs="Times New Roman"/>
          </w:rPr>
          <w:instrText>PAGE   \* MERGEFORMAT</w:instrText>
        </w:r>
        <w:r w:rsidRPr="005F0211">
          <w:rPr>
            <w:rFonts w:ascii="Times New Roman" w:hAnsi="Times New Roman" w:cs="Times New Roman"/>
          </w:rPr>
          <w:fldChar w:fldCharType="separate"/>
        </w:r>
        <w:r w:rsidR="0097340E">
          <w:rPr>
            <w:rFonts w:ascii="Times New Roman" w:hAnsi="Times New Roman" w:cs="Times New Roman"/>
            <w:noProof/>
          </w:rPr>
          <w:t>1</w:t>
        </w:r>
        <w:r w:rsidRPr="005F0211">
          <w:rPr>
            <w:rFonts w:ascii="Times New Roman" w:hAnsi="Times New Roman" w:cs="Times New Roman"/>
          </w:rPr>
          <w:fldChar w:fldCharType="end"/>
        </w:r>
      </w:p>
    </w:sdtContent>
  </w:sdt>
  <w:p w:rsidR="00CD2160" w:rsidRDefault="004F25B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25B9" w:rsidRDefault="004F25B9">
      <w:pPr>
        <w:spacing w:after="0" w:line="240" w:lineRule="auto"/>
      </w:pPr>
      <w:r>
        <w:separator/>
      </w:r>
    </w:p>
  </w:footnote>
  <w:footnote w:type="continuationSeparator" w:id="0">
    <w:p w:rsidR="004F25B9" w:rsidRDefault="004F25B9">
      <w:pPr>
        <w:spacing w:after="0" w:line="240" w:lineRule="auto"/>
      </w:pPr>
      <w:r>
        <w:continuationSeparator/>
      </w:r>
    </w:p>
  </w:footnote>
  <w:footnote w:id="1">
    <w:p w:rsidR="0027744B" w:rsidRPr="003D167D" w:rsidRDefault="005F2877" w:rsidP="0027744B">
      <w:pPr>
        <w:pStyle w:val="Tekstprzypisudolnego"/>
        <w:rPr>
          <w:rFonts w:ascii="Times New Roman" w:hAnsi="Times New Roman" w:cs="Times New Roman"/>
        </w:rPr>
      </w:pPr>
      <w:r w:rsidRPr="003D167D">
        <w:rPr>
          <w:rStyle w:val="Odwoanieprzypisudolnego"/>
          <w:rFonts w:ascii="Times New Roman" w:hAnsi="Times New Roman" w:cs="Times New Roman"/>
        </w:rPr>
        <w:footnoteRef/>
      </w:r>
      <w:r w:rsidRPr="003D167D">
        <w:rPr>
          <w:rFonts w:ascii="Times New Roman" w:hAnsi="Times New Roman" w:cs="Times New Roman"/>
          <w:vertAlign w:val="superscript"/>
        </w:rPr>
        <w:t>)</w:t>
      </w:r>
      <w:r>
        <w:rPr>
          <w:rFonts w:ascii="Times New Roman" w:hAnsi="Times New Roman" w:cs="Times New Roman"/>
        </w:rPr>
        <w:t xml:space="preserve"> sentencja ogłoszona </w:t>
      </w:r>
      <w:r w:rsidR="00271670">
        <w:rPr>
          <w:rFonts w:ascii="Times New Roman" w:hAnsi="Times New Roman" w:cs="Times New Roman"/>
        </w:rPr>
        <w:t>22 stycznia 2019</w:t>
      </w:r>
      <w:r w:rsidR="000C3A0C">
        <w:rPr>
          <w:rFonts w:ascii="Times New Roman" w:hAnsi="Times New Roman" w:cs="Times New Roman"/>
        </w:rPr>
        <w:t xml:space="preserve"> r. w Dzienniku </w:t>
      </w:r>
      <w:r w:rsidR="00271670">
        <w:rPr>
          <w:rFonts w:ascii="Times New Roman" w:hAnsi="Times New Roman" w:cs="Times New Roman"/>
        </w:rPr>
        <w:t>Ustaw Rzeczypospolitej Polskiej  pod  poz. 128</w:t>
      </w:r>
      <w:r>
        <w:rPr>
          <w:rFonts w:ascii="Times New Roman" w:hAnsi="Times New Roman" w:cs="Times New Roman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482B34"/>
    <w:multiLevelType w:val="hybridMultilevel"/>
    <w:tmpl w:val="30442BC8"/>
    <w:lvl w:ilvl="0" w:tplc="E3444B1A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8D547C3C" w:tentative="1">
      <w:start w:val="1"/>
      <w:numFmt w:val="lowerLetter"/>
      <w:lvlText w:val="%2."/>
      <w:lvlJc w:val="left"/>
      <w:pPr>
        <w:ind w:left="1440" w:hanging="360"/>
      </w:pPr>
    </w:lvl>
    <w:lvl w:ilvl="2" w:tplc="9DDCB0C8" w:tentative="1">
      <w:start w:val="1"/>
      <w:numFmt w:val="lowerRoman"/>
      <w:lvlText w:val="%3."/>
      <w:lvlJc w:val="right"/>
      <w:pPr>
        <w:ind w:left="2160" w:hanging="180"/>
      </w:pPr>
    </w:lvl>
    <w:lvl w:ilvl="3" w:tplc="84A42218" w:tentative="1">
      <w:start w:val="1"/>
      <w:numFmt w:val="decimal"/>
      <w:lvlText w:val="%4."/>
      <w:lvlJc w:val="left"/>
      <w:pPr>
        <w:ind w:left="2880" w:hanging="360"/>
      </w:pPr>
    </w:lvl>
    <w:lvl w:ilvl="4" w:tplc="476ED004" w:tentative="1">
      <w:start w:val="1"/>
      <w:numFmt w:val="lowerLetter"/>
      <w:lvlText w:val="%5."/>
      <w:lvlJc w:val="left"/>
      <w:pPr>
        <w:ind w:left="3600" w:hanging="360"/>
      </w:pPr>
    </w:lvl>
    <w:lvl w:ilvl="5" w:tplc="E96A0BBC" w:tentative="1">
      <w:start w:val="1"/>
      <w:numFmt w:val="lowerRoman"/>
      <w:lvlText w:val="%6."/>
      <w:lvlJc w:val="right"/>
      <w:pPr>
        <w:ind w:left="4320" w:hanging="180"/>
      </w:pPr>
    </w:lvl>
    <w:lvl w:ilvl="6" w:tplc="70200E0A" w:tentative="1">
      <w:start w:val="1"/>
      <w:numFmt w:val="decimal"/>
      <w:lvlText w:val="%7."/>
      <w:lvlJc w:val="left"/>
      <w:pPr>
        <w:ind w:left="5040" w:hanging="360"/>
      </w:pPr>
    </w:lvl>
    <w:lvl w:ilvl="7" w:tplc="1B227126" w:tentative="1">
      <w:start w:val="1"/>
      <w:numFmt w:val="lowerLetter"/>
      <w:lvlText w:val="%8."/>
      <w:lvlJc w:val="left"/>
      <w:pPr>
        <w:ind w:left="5760" w:hanging="360"/>
      </w:pPr>
    </w:lvl>
    <w:lvl w:ilvl="8" w:tplc="502CF8B2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16B"/>
    <w:rsid w:val="00043B47"/>
    <w:rsid w:val="000C3A0C"/>
    <w:rsid w:val="001247F8"/>
    <w:rsid w:val="00241A0C"/>
    <w:rsid w:val="00271670"/>
    <w:rsid w:val="002C6F09"/>
    <w:rsid w:val="003072BF"/>
    <w:rsid w:val="00313D56"/>
    <w:rsid w:val="004D57EC"/>
    <w:rsid w:val="004F25B9"/>
    <w:rsid w:val="0050768E"/>
    <w:rsid w:val="005A54F5"/>
    <w:rsid w:val="005F2877"/>
    <w:rsid w:val="006F02A4"/>
    <w:rsid w:val="00771F01"/>
    <w:rsid w:val="0079605F"/>
    <w:rsid w:val="0080416B"/>
    <w:rsid w:val="0097340E"/>
    <w:rsid w:val="00A7135A"/>
    <w:rsid w:val="00A86E53"/>
    <w:rsid w:val="00BE2FB5"/>
    <w:rsid w:val="00CC5C94"/>
    <w:rsid w:val="00D31571"/>
    <w:rsid w:val="00D54097"/>
    <w:rsid w:val="00F02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514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9A514C"/>
    <w:rPr>
      <w:color w:val="808080"/>
    </w:rPr>
  </w:style>
  <w:style w:type="table" w:styleId="Tabela-Siatka">
    <w:name w:val="Table Grid"/>
    <w:basedOn w:val="Standardowy"/>
    <w:uiPriority w:val="59"/>
    <w:rsid w:val="009A5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A5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514C"/>
    <w:rPr>
      <w:rFonts w:ascii="Tahoma" w:hAnsi="Tahoma" w:cs="Tahoma"/>
      <w:sz w:val="16"/>
      <w:szCs w:val="16"/>
    </w:rPr>
  </w:style>
  <w:style w:type="character" w:customStyle="1" w:styleId="Styl3">
    <w:name w:val="Styl3"/>
    <w:basedOn w:val="Domylnaczcionkaakapitu"/>
    <w:uiPriority w:val="1"/>
    <w:rsid w:val="009A514C"/>
    <w:rPr>
      <w:rFonts w:ascii="Times New Roman" w:hAnsi="Times New Roman"/>
      <w:b/>
      <w:color w:val="000000" w:themeColor="text1"/>
      <w:sz w:val="24"/>
    </w:rPr>
  </w:style>
  <w:style w:type="paragraph" w:styleId="Nagwek">
    <w:name w:val="header"/>
    <w:basedOn w:val="Normalny"/>
    <w:link w:val="NagwekZnak"/>
    <w:uiPriority w:val="99"/>
    <w:unhideWhenUsed/>
    <w:rsid w:val="00CD21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2160"/>
  </w:style>
  <w:style w:type="paragraph" w:styleId="Stopka">
    <w:name w:val="footer"/>
    <w:basedOn w:val="Normalny"/>
    <w:link w:val="StopkaZnak"/>
    <w:uiPriority w:val="99"/>
    <w:unhideWhenUsed/>
    <w:rsid w:val="00CD21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2160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774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774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7744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514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9A514C"/>
    <w:rPr>
      <w:color w:val="808080"/>
    </w:rPr>
  </w:style>
  <w:style w:type="table" w:styleId="Tabela-Siatka">
    <w:name w:val="Table Grid"/>
    <w:basedOn w:val="Standardowy"/>
    <w:uiPriority w:val="59"/>
    <w:rsid w:val="009A5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A5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514C"/>
    <w:rPr>
      <w:rFonts w:ascii="Tahoma" w:hAnsi="Tahoma" w:cs="Tahoma"/>
      <w:sz w:val="16"/>
      <w:szCs w:val="16"/>
    </w:rPr>
  </w:style>
  <w:style w:type="character" w:customStyle="1" w:styleId="Styl3">
    <w:name w:val="Styl3"/>
    <w:basedOn w:val="Domylnaczcionkaakapitu"/>
    <w:uiPriority w:val="1"/>
    <w:rsid w:val="009A514C"/>
    <w:rPr>
      <w:rFonts w:ascii="Times New Roman" w:hAnsi="Times New Roman"/>
      <w:b/>
      <w:color w:val="000000" w:themeColor="text1"/>
      <w:sz w:val="24"/>
    </w:rPr>
  </w:style>
  <w:style w:type="paragraph" w:styleId="Nagwek">
    <w:name w:val="header"/>
    <w:basedOn w:val="Normalny"/>
    <w:link w:val="NagwekZnak"/>
    <w:uiPriority w:val="99"/>
    <w:unhideWhenUsed/>
    <w:rsid w:val="00CD21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2160"/>
  </w:style>
  <w:style w:type="paragraph" w:styleId="Stopka">
    <w:name w:val="footer"/>
    <w:basedOn w:val="Normalny"/>
    <w:link w:val="StopkaZnak"/>
    <w:uiPriority w:val="99"/>
    <w:unhideWhenUsed/>
    <w:rsid w:val="00CD21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2160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774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774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7744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195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1D2281-BC9B-4437-AA3C-0EDE7A322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2</Pages>
  <Words>267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Krzysiek</dc:creator>
  <cp:lastModifiedBy>Cabaj Natalia</cp:lastModifiedBy>
  <cp:revision>9</cp:revision>
  <cp:lastPrinted>2018-12-28T07:28:00Z</cp:lastPrinted>
  <dcterms:created xsi:type="dcterms:W3CDTF">2019-03-14T09:32:00Z</dcterms:created>
  <dcterms:modified xsi:type="dcterms:W3CDTF">2019-03-15T08:40:00Z</dcterms:modified>
</cp:coreProperties>
</file>